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5681" w14:textId="2E59B40D" w:rsidR="00C151CE" w:rsidRPr="0058697B" w:rsidRDefault="00000000">
      <w:pPr>
        <w:pStyle w:val="Testonormale"/>
        <w:tabs>
          <w:tab w:val="right" w:leader="dot" w:pos="9639"/>
        </w:tabs>
        <w:jc w:val="center"/>
        <w:rPr>
          <w:rFonts w:ascii="Arial" w:eastAsia="MS Mincho" w:hAnsi="Arial"/>
          <w:b/>
          <w:bCs/>
          <w:i/>
          <w:iCs/>
          <w:sz w:val="32"/>
          <w:szCs w:val="32"/>
        </w:rPr>
      </w:pPr>
      <w:r>
        <w:fldChar w:fldCharType="begin">
          <w:ffData>
            <w:name w:val="__Logo__"/>
            <w:enabled/>
            <w:calcOnExit w:val="0"/>
            <w:textInput>
              <w:default w:val="l"/>
            </w:textInput>
          </w:ffData>
        </w:fldChar>
      </w:r>
      <w:r>
        <w:instrText>FORMTEXT</w:instrText>
      </w:r>
      <w:r>
        <w:fldChar w:fldCharType="separate"/>
      </w:r>
      <w:r>
        <w:rPr>
          <w:rFonts w:ascii="Arial" w:eastAsia="MS Mincho" w:hAnsi="Arial"/>
          <w:i/>
          <w:iCs/>
          <w:color w:val="FFFFFF"/>
          <w:sz w:val="32"/>
          <w:szCs w:val="32"/>
        </w:rPr>
        <w:t>l</w:t>
      </w:r>
      <w:r>
        <w:fldChar w:fldCharType="end"/>
      </w:r>
      <w:r>
        <w:rPr>
          <w:rFonts w:ascii="Arial" w:eastAsia="MS Mincho" w:hAnsi="Arial"/>
          <w:i/>
          <w:iCs/>
          <w:sz w:val="32"/>
          <w:szCs w:val="32"/>
        </w:rPr>
        <w:t xml:space="preserve"> </w:t>
      </w:r>
      <w:r w:rsidRPr="0058697B">
        <w:rPr>
          <w:rFonts w:ascii="Arial" w:eastAsia="MS Mincho" w:hAnsi="Arial"/>
          <w:b/>
          <w:bCs/>
          <w:i/>
          <w:iCs/>
          <w:sz w:val="32"/>
          <w:szCs w:val="32"/>
        </w:rPr>
        <w:t xml:space="preserve">Comune di </w:t>
      </w:r>
      <w:r w:rsidR="0058697B" w:rsidRPr="0058697B">
        <w:rPr>
          <w:b/>
          <w:bCs/>
          <w:sz w:val="32"/>
          <w:szCs w:val="32"/>
        </w:rPr>
        <w:t>OVINDOLI</w:t>
      </w:r>
    </w:p>
    <w:p w14:paraId="2EA3897A" w14:textId="2BB9FD94" w:rsidR="00C151CE" w:rsidRPr="0058697B" w:rsidRDefault="00000000" w:rsidP="009F1902">
      <w:pPr>
        <w:pStyle w:val="Testonormale"/>
        <w:tabs>
          <w:tab w:val="right" w:leader="dot" w:pos="1843"/>
        </w:tabs>
        <w:spacing w:before="60"/>
        <w:jc w:val="center"/>
        <w:rPr>
          <w:b/>
          <w:bCs/>
          <w:sz w:val="32"/>
          <w:szCs w:val="32"/>
        </w:rPr>
      </w:pPr>
      <w:r w:rsidRPr="0058697B">
        <w:rPr>
          <w:rFonts w:ascii="Arial" w:eastAsia="MS Mincho" w:hAnsi="Arial"/>
          <w:b/>
          <w:bCs/>
          <w:i/>
          <w:iCs/>
          <w:sz w:val="32"/>
          <w:szCs w:val="32"/>
        </w:rPr>
        <w:t xml:space="preserve">Provincia di </w:t>
      </w:r>
      <w:r w:rsidR="0058697B" w:rsidRPr="0058697B">
        <w:rPr>
          <w:b/>
          <w:bCs/>
          <w:sz w:val="32"/>
          <w:szCs w:val="32"/>
        </w:rPr>
        <w:t>L’AQUILA</w:t>
      </w:r>
    </w:p>
    <w:p w14:paraId="52DDD57A" w14:textId="77777777" w:rsidR="00C151CE" w:rsidRDefault="00000000" w:rsidP="009F1902">
      <w:pPr>
        <w:pStyle w:val="Titolo2"/>
        <w:keepNext w:val="0"/>
        <w:widowControl w:val="0"/>
        <w:spacing w:before="240" w:after="240"/>
      </w:pPr>
      <w:r>
        <w:rPr>
          <w:b/>
          <w:bCs/>
          <w:color w:val="auto"/>
          <w:sz w:val="32"/>
          <w:szCs w:val="32"/>
        </w:rPr>
        <w:t>UFFICIO ELETTORALE</w:t>
      </w:r>
    </w:p>
    <w:tbl>
      <w:tblPr>
        <w:tblW w:w="9639" w:type="dxa"/>
        <w:jc w:val="center"/>
        <w:tblLook w:val="01E0" w:firstRow="1" w:lastRow="1" w:firstColumn="1" w:lastColumn="1" w:noHBand="0" w:noVBand="0"/>
      </w:tblPr>
      <w:tblGrid>
        <w:gridCol w:w="9639"/>
      </w:tblGrid>
      <w:tr w:rsidR="00C151CE" w14:paraId="5565B2DE" w14:textId="77777777">
        <w:trPr>
          <w:trHeight w:val="1245"/>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3538017" w14:textId="63FB5C44" w:rsidR="00C151CE" w:rsidRDefault="00000000">
            <w:pPr>
              <w:widowControl w:val="0"/>
              <w:jc w:val="center"/>
              <w:rPr>
                <w:rFonts w:ascii="Arial" w:hAnsi="Arial" w:cs="Arial"/>
                <w:b/>
                <w:bCs/>
                <w:sz w:val="36"/>
                <w:szCs w:val="36"/>
              </w:rPr>
            </w:pPr>
            <w:r>
              <w:rPr>
                <w:rFonts w:ascii="Arial" w:hAnsi="Arial" w:cs="Arial"/>
                <w:b/>
                <w:bCs/>
                <w:sz w:val="36"/>
                <w:szCs w:val="36"/>
              </w:rPr>
              <w:t xml:space="preserve">Avviso sull’opzione da parte dei cittadini italiani temporaneamente all’estero per le consultazioni </w:t>
            </w:r>
            <w:r w:rsidR="0058697B">
              <w:rPr>
                <w:rFonts w:ascii="Arial" w:hAnsi="Arial" w:cs="Arial"/>
                <w:b/>
                <w:bCs/>
                <w:sz w:val="36"/>
                <w:szCs w:val="36"/>
              </w:rPr>
              <w:t>POLITICHE</w:t>
            </w:r>
            <w:r>
              <w:rPr>
                <w:rFonts w:ascii="Arial" w:hAnsi="Arial" w:cs="Arial"/>
                <w:b/>
                <w:bCs/>
                <w:sz w:val="36"/>
                <w:szCs w:val="36"/>
              </w:rPr>
              <w:t xml:space="preserve"> del </w:t>
            </w:r>
            <w:r w:rsidR="0058697B">
              <w:rPr>
                <w:rFonts w:ascii="Arial" w:hAnsi="Arial" w:cs="Arial"/>
                <w:b/>
                <w:bCs/>
                <w:sz w:val="36"/>
                <w:szCs w:val="36"/>
              </w:rPr>
              <w:t>25/09/2022</w:t>
            </w:r>
          </w:p>
        </w:tc>
      </w:tr>
    </w:tbl>
    <w:p w14:paraId="44D8FB16" w14:textId="77777777" w:rsidR="00C151CE" w:rsidRDefault="00000000" w:rsidP="009F1902">
      <w:pPr>
        <w:pStyle w:val="Titolo3"/>
        <w:widowControl w:val="0"/>
        <w:spacing w:before="240" w:after="120"/>
        <w:rPr>
          <w:sz w:val="26"/>
          <w:szCs w:val="26"/>
        </w:rPr>
      </w:pPr>
      <w:r>
        <w:rPr>
          <w:color w:val="auto"/>
          <w:sz w:val="26"/>
          <w:szCs w:val="26"/>
        </w:rPr>
        <w:t>IL SINDACO</w:t>
      </w:r>
    </w:p>
    <w:p w14:paraId="5325640A" w14:textId="4C321F32" w:rsidR="00C151CE" w:rsidRDefault="00000000">
      <w:pPr>
        <w:pStyle w:val="Rientrocorpodeltesto"/>
        <w:widowControl w:val="0"/>
        <w:spacing w:before="57"/>
        <w:ind w:firstLine="0"/>
        <w:rPr>
          <w:sz w:val="26"/>
          <w:szCs w:val="26"/>
        </w:rPr>
      </w:pPr>
      <w:r>
        <w:rPr>
          <w:color w:val="auto"/>
          <w:spacing w:val="2"/>
          <w:sz w:val="26"/>
          <w:szCs w:val="26"/>
        </w:rPr>
        <w:t xml:space="preserve">Visti la legge 27 dicembre 2001, n. 459 e </w:t>
      </w:r>
      <w:r>
        <w:rPr>
          <w:color w:val="auto"/>
          <w:sz w:val="26"/>
          <w:szCs w:val="26"/>
        </w:rPr>
        <w:t>il d.P.R. 2 aprile 2003, n. 104;</w:t>
      </w:r>
    </w:p>
    <w:p w14:paraId="02676422" w14:textId="44AA58D9" w:rsidR="0058697B" w:rsidRDefault="00000000" w:rsidP="0058697B">
      <w:pPr>
        <w:pStyle w:val="Rientrocorpodeltesto"/>
        <w:widowControl w:val="0"/>
        <w:spacing w:before="120" w:after="120"/>
        <w:ind w:firstLine="0"/>
        <w:rPr>
          <w:rFonts w:ascii="Titillium Web" w:hAnsi="Titillium Web"/>
          <w:color w:val="484848"/>
          <w:shd w:val="clear" w:color="auto" w:fill="FFFFFF"/>
        </w:rPr>
      </w:pPr>
      <w:r>
        <w:rPr>
          <w:color w:val="auto"/>
          <w:sz w:val="26"/>
          <w:szCs w:val="26"/>
        </w:rPr>
        <w:t xml:space="preserve">Atteso che con d.P.R. n. </w:t>
      </w:r>
      <w:r w:rsidR="0058697B">
        <w:rPr>
          <w:color w:val="auto"/>
          <w:sz w:val="26"/>
          <w:szCs w:val="26"/>
        </w:rPr>
        <w:t>97</w:t>
      </w:r>
      <w:r>
        <w:rPr>
          <w:color w:val="auto"/>
          <w:sz w:val="26"/>
          <w:szCs w:val="26"/>
        </w:rPr>
        <w:t xml:space="preserve"> del </w:t>
      </w:r>
      <w:r w:rsidR="0058697B">
        <w:rPr>
          <w:color w:val="auto"/>
          <w:sz w:val="26"/>
          <w:szCs w:val="26"/>
        </w:rPr>
        <w:t>21/07/2022</w:t>
      </w:r>
      <w:r>
        <w:rPr>
          <w:color w:val="auto"/>
          <w:sz w:val="26"/>
          <w:szCs w:val="26"/>
        </w:rPr>
        <w:t xml:space="preserve">., </w:t>
      </w:r>
      <w:r w:rsidR="0058697B" w:rsidRPr="0058697B">
        <w:rPr>
          <w:color w:val="484848"/>
          <w:sz w:val="26"/>
          <w:szCs w:val="26"/>
          <w:shd w:val="clear" w:color="auto" w:fill="FFFFFF"/>
        </w:rPr>
        <w:t>è stata fissata </w:t>
      </w:r>
      <w:r w:rsidR="0058697B" w:rsidRPr="0058697B">
        <w:rPr>
          <w:rStyle w:val="Enfasigrassetto"/>
          <w:color w:val="484848"/>
          <w:sz w:val="26"/>
          <w:szCs w:val="26"/>
          <w:shd w:val="clear" w:color="auto" w:fill="FFFFFF"/>
        </w:rPr>
        <w:t>al 25 settembre 2022</w:t>
      </w:r>
      <w:r w:rsidR="0058697B" w:rsidRPr="0058697B">
        <w:rPr>
          <w:color w:val="484848"/>
          <w:sz w:val="26"/>
          <w:szCs w:val="26"/>
          <w:shd w:val="clear" w:color="auto" w:fill="FFFFFF"/>
        </w:rPr>
        <w:t> la convocazione dei comizi per le elezioni della Camera dei Deputati e del Senato della Repubblica</w:t>
      </w:r>
    </w:p>
    <w:p w14:paraId="138660EB" w14:textId="47D2F0A9" w:rsidR="00C151CE" w:rsidRPr="0058697B" w:rsidRDefault="00000000" w:rsidP="0058697B">
      <w:pPr>
        <w:pStyle w:val="Rientrocorpodeltesto"/>
        <w:widowControl w:val="0"/>
        <w:spacing w:before="120" w:after="120"/>
        <w:ind w:firstLine="0"/>
        <w:jc w:val="center"/>
        <w:rPr>
          <w:b/>
          <w:bCs/>
          <w:sz w:val="26"/>
          <w:szCs w:val="26"/>
        </w:rPr>
      </w:pPr>
      <w:r w:rsidRPr="0058697B">
        <w:rPr>
          <w:b/>
          <w:bCs/>
          <w:color w:val="auto"/>
          <w:sz w:val="26"/>
          <w:szCs w:val="26"/>
        </w:rPr>
        <w:t>RENDE NOTO CHE</w:t>
      </w:r>
    </w:p>
    <w:p w14:paraId="2540E4ED" w14:textId="36278E2C" w:rsidR="00C151CE" w:rsidRDefault="00000000">
      <w:pPr>
        <w:pStyle w:val="Corpotesto"/>
        <w:widowControl w:val="0"/>
        <w:spacing w:before="57" w:line="240" w:lineRule="auto"/>
        <w:rPr>
          <w:sz w:val="26"/>
          <w:szCs w:val="26"/>
        </w:rPr>
      </w:pPr>
      <w:r>
        <w:rPr>
          <w:color w:val="auto"/>
          <w:sz w:val="26"/>
          <w:szCs w:val="26"/>
        </w:rPr>
        <w:t>gli elettori</w:t>
      </w:r>
      <w:r w:rsidR="002C6AB3">
        <w:rPr>
          <w:color w:val="auto"/>
          <w:sz w:val="26"/>
          <w:szCs w:val="26"/>
        </w:rPr>
        <w:t xml:space="preserve"> </w:t>
      </w:r>
      <w:r>
        <w:rPr>
          <w:color w:val="auto"/>
          <w:sz w:val="26"/>
          <w:szCs w:val="26"/>
        </w:rPr>
        <w:t xml:space="preserve">che per motivi di lavoro, studio o cure mediche si trova temporaneamente all'estero per un periodo di almeno tre mesi nel quale ricade la data del voto, nonché i loro familiari e conviventi, possono richiedere di esprimere il voto per le elezioni politiche e i referendum nazionali per corrispondenza, in linea con il voto degli italiani residenti all’estero. L'opzione andrà indirizzata direttamente al Comune d'iscrizione nelle liste elettorali </w:t>
      </w:r>
      <w:r>
        <w:rPr>
          <w:b/>
          <w:bCs/>
          <w:color w:val="auto"/>
          <w:sz w:val="26"/>
          <w:szCs w:val="26"/>
        </w:rPr>
        <w:t>entro il trentaduesimo giorno antecedente la data di votazione</w:t>
      </w:r>
      <w:r>
        <w:rPr>
          <w:color w:val="auto"/>
          <w:sz w:val="26"/>
          <w:szCs w:val="26"/>
        </w:rPr>
        <w:t xml:space="preserve"> </w:t>
      </w:r>
      <w:r>
        <w:rPr>
          <w:b/>
          <w:bCs/>
          <w:color w:val="auto"/>
          <w:sz w:val="26"/>
          <w:szCs w:val="26"/>
        </w:rPr>
        <w:t xml:space="preserve">(quindi, per le consultazioni in oggetto, entro il giorno </w:t>
      </w:r>
      <w:r w:rsidR="0058697B">
        <w:rPr>
          <w:b/>
          <w:bCs/>
          <w:color w:val="auto"/>
          <w:sz w:val="26"/>
          <w:szCs w:val="26"/>
        </w:rPr>
        <w:t>31/07/2022</w:t>
      </w:r>
      <w:r>
        <w:rPr>
          <w:b/>
          <w:bCs/>
          <w:color w:val="auto"/>
          <w:sz w:val="26"/>
          <w:szCs w:val="26"/>
        </w:rPr>
        <w:t>).</w:t>
      </w:r>
    </w:p>
    <w:p w14:paraId="50B8115F" w14:textId="77777777" w:rsidR="009F1902" w:rsidRDefault="00000000">
      <w:pPr>
        <w:pStyle w:val="Corpotesto"/>
        <w:widowControl w:val="0"/>
        <w:spacing w:before="120" w:line="240" w:lineRule="auto"/>
        <w:rPr>
          <w:color w:val="auto"/>
          <w:sz w:val="26"/>
          <w:szCs w:val="26"/>
        </w:rPr>
      </w:pPr>
      <w:r>
        <w:rPr>
          <w:color w:val="auto"/>
          <w:sz w:val="26"/>
          <w:szCs w:val="26"/>
        </w:rPr>
        <w:t>La richiesta potrà pervenire al Comune ai seguenti contatti:</w:t>
      </w:r>
    </w:p>
    <w:p w14:paraId="459B0B80" w14:textId="3C07AB2F" w:rsidR="00C151CE" w:rsidRPr="0058697B" w:rsidRDefault="0058697B">
      <w:pPr>
        <w:pStyle w:val="Corpotesto"/>
        <w:widowControl w:val="0"/>
        <w:spacing w:before="120" w:line="240" w:lineRule="auto"/>
        <w:rPr>
          <w:b/>
          <w:bCs/>
          <w:sz w:val="26"/>
          <w:szCs w:val="26"/>
        </w:rPr>
      </w:pPr>
      <w:proofErr w:type="spellStart"/>
      <w:r w:rsidRPr="0058697B">
        <w:rPr>
          <w:b/>
          <w:bCs/>
          <w:color w:val="auto"/>
          <w:sz w:val="26"/>
          <w:szCs w:val="26"/>
        </w:rPr>
        <w:t>pec</w:t>
      </w:r>
      <w:proofErr w:type="spellEnd"/>
      <w:r w:rsidRPr="0058697B">
        <w:rPr>
          <w:b/>
          <w:bCs/>
          <w:color w:val="auto"/>
          <w:sz w:val="26"/>
          <w:szCs w:val="26"/>
        </w:rPr>
        <w:t>: anagrafe.ovindoli@legalmail.it</w:t>
      </w:r>
      <w:r w:rsidR="00000000" w:rsidRPr="0058697B">
        <w:rPr>
          <w:b/>
          <w:bCs/>
          <w:color w:val="auto"/>
          <w:sz w:val="26"/>
          <w:szCs w:val="26"/>
        </w:rPr>
        <w:t xml:space="preserve"> </w:t>
      </w:r>
    </w:p>
    <w:p w14:paraId="6814F834" w14:textId="77777777" w:rsidR="00C151CE" w:rsidRDefault="00000000">
      <w:pPr>
        <w:pStyle w:val="Corpotesto"/>
        <w:widowControl w:val="0"/>
        <w:spacing w:before="120" w:line="240" w:lineRule="auto"/>
        <w:rPr>
          <w:sz w:val="26"/>
          <w:szCs w:val="26"/>
        </w:rPr>
      </w:pPr>
      <w:r>
        <w:rPr>
          <w:color w:val="auto"/>
          <w:sz w:val="26"/>
          <w:szCs w:val="26"/>
        </w:rPr>
        <w:t>La dichiarazione di opzione, redatta su carta libera preferibilmente utilizzando il modello reso disponibile sul sito web del Ministero e su quello del Comune, e necessariamente corredata di copia di un documento d'identità valido dell'elettore, deve in ogni caso contenere l'indirizzo postale estero cui va inviato il plico elettorale ed una dichiarazione attestante il possesso dei requisiti di legge.</w:t>
      </w:r>
    </w:p>
    <w:p w14:paraId="0782C068" w14:textId="77777777" w:rsidR="00C151CE" w:rsidRDefault="00000000">
      <w:pPr>
        <w:pStyle w:val="Corpotesto"/>
        <w:widowControl w:val="0"/>
        <w:spacing w:before="120" w:line="240" w:lineRule="auto"/>
        <w:rPr>
          <w:sz w:val="26"/>
          <w:szCs w:val="26"/>
        </w:rPr>
      </w:pPr>
      <w:r>
        <w:rPr>
          <w:color w:val="auto"/>
          <w:sz w:val="26"/>
          <w:szCs w:val="26"/>
        </w:rPr>
        <w:t>Con riferimento al periodo minimo di almeno tre mesi nel quale ricade la data della consultazione, la domanda potrà anche solo contenere dichiarazione di tale circostanza, anche se l'interessato non si trovi all'estero al momento della domanda stessa, purché il periodo previsto e dichiarato di temporanea residenza comprenda la data stabilita per la votazione. Per i familiari conviventi dei temporaneamente all'estero aventi diritto al voto per corrispondenza la legge non richiede tale periodo.</w:t>
      </w:r>
    </w:p>
    <w:p w14:paraId="3E1BFD45" w14:textId="77777777" w:rsidR="00C151CE" w:rsidRDefault="00000000">
      <w:pPr>
        <w:pStyle w:val="Corpotesto"/>
        <w:widowControl w:val="0"/>
        <w:spacing w:before="120" w:line="240" w:lineRule="auto"/>
        <w:rPr>
          <w:sz w:val="26"/>
          <w:szCs w:val="26"/>
        </w:rPr>
      </w:pPr>
      <w:r>
        <w:rPr>
          <w:color w:val="auto"/>
          <w:sz w:val="26"/>
          <w:szCs w:val="26"/>
        </w:rPr>
        <w:t>Sono definite particolari modalità tecnico-organizzative per il voto degli appartenenti alle Forze armate e di polizia temporaneamente all'estero nello svolgimento di missioni internazionali e degli elettori domiciliati presso le Ambasciate e i Consolati, da verificare con tali autorità.</w:t>
      </w:r>
    </w:p>
    <w:p w14:paraId="52D00F57" w14:textId="2EAF942C" w:rsidR="00C151CE" w:rsidRDefault="00000000" w:rsidP="009F1902">
      <w:pPr>
        <w:pStyle w:val="Titolo4"/>
        <w:keepNext w:val="0"/>
        <w:widowControl w:val="0"/>
        <w:spacing w:before="120" w:line="240" w:lineRule="auto"/>
        <w:rPr>
          <w:sz w:val="26"/>
          <w:szCs w:val="26"/>
        </w:rPr>
      </w:pPr>
      <w:r>
        <w:rPr>
          <w:color w:val="auto"/>
          <w:sz w:val="26"/>
          <w:szCs w:val="26"/>
        </w:rPr>
        <w:t xml:space="preserve">Dalla Residenza municipale, lì </w:t>
      </w:r>
      <w:r w:rsidR="0058697B">
        <w:rPr>
          <w:color w:val="auto"/>
          <w:sz w:val="26"/>
          <w:szCs w:val="26"/>
        </w:rPr>
        <w:t>28/07/2022</w:t>
      </w:r>
    </w:p>
    <w:p w14:paraId="71AAD08A" w14:textId="5C0958D1" w:rsidR="00C151CE" w:rsidRDefault="0058697B" w:rsidP="009F1902">
      <w:pPr>
        <w:widowControl w:val="0"/>
        <w:spacing w:before="120"/>
        <w:ind w:left="5954"/>
        <w:jc w:val="center"/>
        <w:rPr>
          <w:sz w:val="26"/>
          <w:szCs w:val="26"/>
        </w:rPr>
      </w:pPr>
      <w:r>
        <w:rPr>
          <w:sz w:val="26"/>
          <w:szCs w:val="26"/>
        </w:rPr>
        <w:t>L’Ufficiale Elettorale</w:t>
      </w:r>
    </w:p>
    <w:p w14:paraId="6DA12603" w14:textId="0C7CC241" w:rsidR="0058697B" w:rsidRDefault="0058697B" w:rsidP="009F1902">
      <w:pPr>
        <w:widowControl w:val="0"/>
        <w:spacing w:before="120"/>
        <w:ind w:left="5954"/>
        <w:jc w:val="center"/>
        <w:rPr>
          <w:sz w:val="26"/>
          <w:szCs w:val="26"/>
        </w:rPr>
      </w:pPr>
      <w:r>
        <w:rPr>
          <w:sz w:val="26"/>
          <w:szCs w:val="26"/>
        </w:rPr>
        <w:t>Egle Chiuchiarelli</w:t>
      </w:r>
    </w:p>
    <w:sectPr w:rsidR="0058697B">
      <w:footerReference w:type="default" r:id="rId6"/>
      <w:pgSz w:w="11906" w:h="16838"/>
      <w:pgMar w:top="709" w:right="1134" w:bottom="1134" w:left="1134" w:header="0" w:footer="42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63DB9" w14:textId="77777777" w:rsidR="00170F8F" w:rsidRDefault="00170F8F">
      <w:r>
        <w:separator/>
      </w:r>
    </w:p>
  </w:endnote>
  <w:endnote w:type="continuationSeparator" w:id="0">
    <w:p w14:paraId="3E538DBA" w14:textId="77777777" w:rsidR="00170F8F" w:rsidRDefault="0017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C8F7" w14:textId="77777777" w:rsidR="009F1902" w:rsidRPr="009F1902" w:rsidRDefault="009F1902" w:rsidP="009F1902">
    <w:pPr>
      <w:suppressAutoHyphens w:val="0"/>
      <w:rPr>
        <w:rFonts w:ascii="Arial" w:hAnsi="Arial" w:cs="Arial"/>
      </w:rPr>
    </w:pPr>
  </w:p>
  <w:tbl>
    <w:tblPr>
      <w:tblW w:w="8284"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7573"/>
    </w:tblGrid>
    <w:tr w:rsidR="0058697B" w:rsidRPr="009F1902" w14:paraId="4CF564ED" w14:textId="77777777" w:rsidTr="0058697B">
      <w:trPr>
        <w:trHeight w:val="142"/>
      </w:trPr>
      <w:tc>
        <w:tcPr>
          <w:tcW w:w="711" w:type="dxa"/>
          <w:vMerge w:val="restart"/>
          <w:tcBorders>
            <w:top w:val="nil"/>
            <w:bottom w:val="nil"/>
            <w:right w:val="nil"/>
          </w:tcBorders>
          <w:vAlign w:val="center"/>
        </w:tcPr>
        <w:p w14:paraId="31156713" w14:textId="0F4C1140" w:rsidR="0058697B" w:rsidRPr="009F1902" w:rsidRDefault="0058697B" w:rsidP="009F1902">
          <w:pPr>
            <w:suppressAutoHyphens w:val="0"/>
            <w:ind w:right="7370"/>
            <w:jc w:val="right"/>
            <w:rPr>
              <w:rFonts w:ascii="Arial" w:hAnsi="Arial" w:cs="Arial"/>
              <w:sz w:val="14"/>
              <w:szCs w:val="14"/>
            </w:rPr>
          </w:pPr>
        </w:p>
      </w:tc>
      <w:tc>
        <w:tcPr>
          <w:tcW w:w="7573" w:type="dxa"/>
          <w:tcBorders>
            <w:top w:val="nil"/>
            <w:left w:val="nil"/>
            <w:bottom w:val="nil"/>
          </w:tcBorders>
          <w:vAlign w:val="center"/>
        </w:tcPr>
        <w:p w14:paraId="7352DD01" w14:textId="77777777" w:rsidR="0058697B" w:rsidRPr="009F1902" w:rsidRDefault="0058697B" w:rsidP="009F1902">
          <w:pPr>
            <w:suppressAutoHyphens w:val="0"/>
            <w:ind w:right="62"/>
            <w:rPr>
              <w:rFonts w:ascii="Arial" w:hAnsi="Arial" w:cs="Arial"/>
              <w:sz w:val="10"/>
              <w:szCs w:val="10"/>
            </w:rPr>
          </w:pPr>
        </w:p>
      </w:tc>
    </w:tr>
    <w:tr w:rsidR="0058697B" w:rsidRPr="009F1902" w14:paraId="5D4C94E1" w14:textId="77777777" w:rsidTr="0058697B">
      <w:trPr>
        <w:trHeight w:val="142"/>
      </w:trPr>
      <w:tc>
        <w:tcPr>
          <w:tcW w:w="711" w:type="dxa"/>
          <w:vMerge/>
          <w:tcBorders>
            <w:bottom w:val="nil"/>
            <w:right w:val="nil"/>
          </w:tcBorders>
        </w:tcPr>
        <w:p w14:paraId="7D2DB1C9" w14:textId="77777777" w:rsidR="0058697B" w:rsidRPr="009F1902" w:rsidRDefault="0058697B" w:rsidP="009F1902">
          <w:pPr>
            <w:suppressAutoHyphens w:val="0"/>
            <w:ind w:right="7370"/>
            <w:rPr>
              <w:rFonts w:ascii="Arial" w:hAnsi="Arial" w:cs="Arial"/>
              <w:sz w:val="14"/>
              <w:szCs w:val="14"/>
            </w:rPr>
          </w:pPr>
        </w:p>
      </w:tc>
      <w:tc>
        <w:tcPr>
          <w:tcW w:w="7573" w:type="dxa"/>
          <w:tcBorders>
            <w:top w:val="nil"/>
            <w:left w:val="nil"/>
            <w:bottom w:val="nil"/>
          </w:tcBorders>
          <w:vAlign w:val="center"/>
        </w:tcPr>
        <w:p w14:paraId="70969E87" w14:textId="77777777" w:rsidR="0058697B" w:rsidRPr="009F1902" w:rsidRDefault="0058697B" w:rsidP="009F1902">
          <w:pPr>
            <w:suppressAutoHyphens w:val="0"/>
            <w:ind w:right="62"/>
            <w:rPr>
              <w:rFonts w:ascii="Arial" w:hAnsi="Arial" w:cs="Arial"/>
              <w:sz w:val="10"/>
              <w:szCs w:val="10"/>
            </w:rPr>
          </w:pPr>
        </w:p>
      </w:tc>
    </w:tr>
  </w:tbl>
  <w:p w14:paraId="5DF8750C" w14:textId="77777777" w:rsidR="009F1902" w:rsidRPr="009F1902" w:rsidRDefault="009F1902" w:rsidP="009F1902">
    <w:pPr>
      <w:tabs>
        <w:tab w:val="center" w:pos="4819"/>
        <w:tab w:val="right" w:pos="9638"/>
      </w:tabs>
      <w:suppressAutoHyphens w:val="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0D90" w14:textId="77777777" w:rsidR="00170F8F" w:rsidRDefault="00170F8F">
      <w:r>
        <w:separator/>
      </w:r>
    </w:p>
  </w:footnote>
  <w:footnote w:type="continuationSeparator" w:id="0">
    <w:p w14:paraId="3FFD3838" w14:textId="77777777" w:rsidR="00170F8F" w:rsidRDefault="00170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CE"/>
    <w:rsid w:val="00170F8F"/>
    <w:rsid w:val="002C6AB3"/>
    <w:rsid w:val="00345DF9"/>
    <w:rsid w:val="0058697B"/>
    <w:rsid w:val="005D484E"/>
    <w:rsid w:val="00835B96"/>
    <w:rsid w:val="009F1902"/>
    <w:rsid w:val="00C151C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F128"/>
  <w15:docId w15:val="{BBBE0865-455E-48FB-9C2A-A97330E9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rFonts w:ascii="Arial" w:hAnsi="Arial" w:cs="Arial"/>
      <w:color w:val="000000"/>
      <w:sz w:val="90"/>
      <w:szCs w:val="361"/>
    </w:rPr>
  </w:style>
  <w:style w:type="paragraph" w:styleId="Titolo2">
    <w:name w:val="heading 2"/>
    <w:basedOn w:val="Normale"/>
    <w:next w:val="Normale"/>
    <w:qFormat/>
    <w:pPr>
      <w:keepNext/>
      <w:jc w:val="center"/>
      <w:outlineLvl w:val="1"/>
    </w:pPr>
    <w:rPr>
      <w:rFonts w:ascii="Arial" w:hAnsi="Arial" w:cs="Arial"/>
      <w:color w:val="000000"/>
      <w:sz w:val="40"/>
      <w:szCs w:val="51"/>
      <w:u w:val="single"/>
    </w:rPr>
  </w:style>
  <w:style w:type="paragraph" w:styleId="Titolo3">
    <w:name w:val="heading 3"/>
    <w:basedOn w:val="Normale"/>
    <w:next w:val="Normale"/>
    <w:qFormat/>
    <w:pPr>
      <w:keepNext/>
      <w:jc w:val="center"/>
      <w:outlineLvl w:val="2"/>
    </w:pPr>
    <w:rPr>
      <w:rFonts w:ascii="Arial" w:hAnsi="Arial" w:cs="Arial"/>
      <w:b/>
      <w:bCs/>
      <w:color w:val="000000"/>
      <w:sz w:val="20"/>
      <w:szCs w:val="64"/>
    </w:rPr>
  </w:style>
  <w:style w:type="paragraph" w:styleId="Titolo4">
    <w:name w:val="heading 4"/>
    <w:basedOn w:val="Normale"/>
    <w:next w:val="Normale"/>
    <w:qFormat/>
    <w:pPr>
      <w:keepNext/>
      <w:spacing w:line="360" w:lineRule="auto"/>
      <w:jc w:val="both"/>
      <w:outlineLvl w:val="3"/>
    </w:pPr>
    <w:rPr>
      <w:rFonts w:ascii="Arial" w:hAnsi="Arial" w:cs="Arial"/>
      <w:i/>
      <w:iCs/>
      <w:color w:val="000000"/>
      <w:sz w:val="20"/>
      <w:szCs w:val="42"/>
    </w:rPr>
  </w:style>
  <w:style w:type="paragraph" w:styleId="Titolo5">
    <w:name w:val="heading 5"/>
    <w:basedOn w:val="Normale"/>
    <w:next w:val="Normale"/>
    <w:qFormat/>
    <w:pPr>
      <w:keepNext/>
      <w:spacing w:line="360" w:lineRule="auto"/>
      <w:ind w:left="6372" w:firstLine="708"/>
      <w:jc w:val="both"/>
      <w:outlineLvl w:val="4"/>
    </w:pPr>
    <w:rPr>
      <w:rFonts w:ascii="Arial" w:hAnsi="Arial" w:cs="Arial"/>
      <w:b/>
      <w:bCs/>
      <w:color w:val="000000"/>
      <w:sz w:val="20"/>
      <w:szCs w:val="64"/>
    </w:rPr>
  </w:style>
  <w:style w:type="paragraph" w:styleId="Titolo6">
    <w:name w:val="heading 6"/>
    <w:basedOn w:val="Normale"/>
    <w:next w:val="Normale"/>
    <w:qFormat/>
    <w:pPr>
      <w:keepNext/>
      <w:widowControl w:val="0"/>
      <w:spacing w:before="60" w:line="324" w:lineRule="auto"/>
      <w:jc w:val="center"/>
      <w:outlineLvl w:val="5"/>
    </w:pPr>
    <w:rPr>
      <w:rFonts w:ascii="Arial" w:hAnsi="Arial" w:cs="Arial"/>
      <w:b/>
      <w:bCs/>
      <w:color w:val="000000"/>
      <w:spacing w:val="10"/>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semiHidden/>
    <w:qFormat/>
  </w:style>
  <w:style w:type="character" w:customStyle="1" w:styleId="PidipaginaCarattere">
    <w:name w:val="Piè di pagina Carattere"/>
    <w:link w:val="Pidipagina"/>
    <w:qFormat/>
    <w:rsid w:val="00665662"/>
    <w:rPr>
      <w:sz w:val="24"/>
      <w:szCs w:val="24"/>
    </w:rPr>
  </w:style>
  <w:style w:type="character" w:customStyle="1" w:styleId="TestonormaleCarattere">
    <w:name w:val="Testo normale Carattere"/>
    <w:link w:val="Testonormale"/>
    <w:semiHidden/>
    <w:qFormat/>
    <w:rsid w:val="00A573EA"/>
    <w:rPr>
      <w:rFonts w:ascii="Courier New" w:hAnsi="Courier New" w:cs="Courier New"/>
    </w:rPr>
  </w:style>
  <w:style w:type="paragraph" w:styleId="Titolo">
    <w:name w:val="Title"/>
    <w:basedOn w:val="Normale"/>
    <w:next w:val="Corpotesto"/>
    <w:qFormat/>
    <w:pPr>
      <w:keepNext/>
      <w:spacing w:before="240" w:after="120"/>
    </w:pPr>
    <w:rPr>
      <w:rFonts w:ascii="Arial" w:eastAsia="Microsoft YaHei" w:hAnsi="Arial" w:cs="Arial"/>
      <w:sz w:val="28"/>
      <w:szCs w:val="28"/>
    </w:rPr>
  </w:style>
  <w:style w:type="paragraph" w:styleId="Corpotesto">
    <w:name w:val="Body Text"/>
    <w:basedOn w:val="Normale"/>
    <w:semiHidden/>
    <w:pPr>
      <w:spacing w:line="360" w:lineRule="auto"/>
      <w:jc w:val="both"/>
    </w:pPr>
    <w:rPr>
      <w:rFonts w:ascii="Arial" w:hAnsi="Arial" w:cs="Arial"/>
      <w:color w:val="000000"/>
      <w:sz w:val="20"/>
      <w:szCs w:val="40"/>
    </w:rPr>
  </w:style>
  <w:style w:type="paragraph" w:styleId="Elenco">
    <w:name w:val="List"/>
    <w:basedOn w:val="Corpotesto"/>
    <w:rPr>
      <w:sz w:val="24"/>
    </w:rPr>
  </w:style>
  <w:style w:type="paragraph" w:styleId="Didascalia">
    <w:name w:val="caption"/>
    <w:basedOn w:val="Normale"/>
    <w:qFormat/>
    <w:pPr>
      <w:suppressLineNumbers/>
      <w:spacing w:before="120" w:after="120"/>
    </w:pPr>
    <w:rPr>
      <w:rFonts w:ascii="Arial" w:hAnsi="Arial" w:cs="Arial"/>
      <w:i/>
      <w:iCs/>
    </w:rPr>
  </w:style>
  <w:style w:type="paragraph" w:customStyle="1" w:styleId="Indice">
    <w:name w:val="Indice"/>
    <w:basedOn w:val="Normale"/>
    <w:qFormat/>
    <w:pPr>
      <w:suppressLineNumbers/>
    </w:pPr>
    <w:rPr>
      <w:rFonts w:ascii="Arial" w:hAnsi="Arial" w:cs="Arial"/>
    </w:rPr>
  </w:style>
  <w:style w:type="paragraph" w:styleId="Rientrocorpodeltesto">
    <w:name w:val="Body Text Indent"/>
    <w:basedOn w:val="Normale"/>
    <w:semiHidden/>
    <w:pPr>
      <w:ind w:firstLine="360"/>
      <w:jc w:val="both"/>
    </w:pPr>
    <w:rPr>
      <w:rFonts w:ascii="Arial" w:hAnsi="Arial" w:cs="Arial"/>
      <w:color w:val="000000"/>
      <w:sz w:val="20"/>
      <w:szCs w:val="40"/>
    </w:rPr>
  </w:style>
  <w:style w:type="paragraph" w:customStyle="1" w:styleId="Intestazioneepidipagina">
    <w:name w:val="Intestazione e piè di pagina"/>
    <w:basedOn w:val="Normale"/>
    <w:qFormat/>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2">
    <w:name w:val="Body Text Indent 2"/>
    <w:basedOn w:val="Normale"/>
    <w:semiHidden/>
    <w:qFormat/>
    <w:pPr>
      <w:spacing w:line="360" w:lineRule="auto"/>
      <w:ind w:firstLine="360"/>
      <w:jc w:val="both"/>
    </w:pPr>
    <w:rPr>
      <w:rFonts w:ascii="Arial" w:hAnsi="Arial" w:cs="Arial"/>
      <w:color w:val="000000"/>
      <w:sz w:val="28"/>
      <w:szCs w:val="40"/>
    </w:rPr>
  </w:style>
  <w:style w:type="paragraph" w:styleId="Testonormale">
    <w:name w:val="Plain Text"/>
    <w:basedOn w:val="Normale"/>
    <w:link w:val="TestonormaleCarattere"/>
    <w:semiHidden/>
    <w:qFormat/>
    <w:rsid w:val="00A573EA"/>
    <w:rPr>
      <w:rFonts w:ascii="Courier New" w:hAnsi="Courier New" w:cs="Courier New"/>
      <w:sz w:val="20"/>
      <w:szCs w:val="20"/>
    </w:rPr>
  </w:style>
  <w:style w:type="character" w:styleId="Enfasigrassetto">
    <w:name w:val="Strong"/>
    <w:basedOn w:val="Carpredefinitoparagrafo"/>
    <w:uiPriority w:val="22"/>
    <w:qFormat/>
    <w:rsid w:val="00586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Comune di</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Grafiche E.Gaspari S.r.l.</dc:creator>
  <dc:description/>
  <cp:lastModifiedBy>Anagrafe-PC</cp:lastModifiedBy>
  <cp:revision>2</cp:revision>
  <cp:lastPrinted>2022-04-11T12:33:00Z</cp:lastPrinted>
  <dcterms:created xsi:type="dcterms:W3CDTF">2022-07-28T06:03:00Z</dcterms:created>
  <dcterms:modified xsi:type="dcterms:W3CDTF">2022-07-28T06:03:00Z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